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PLATE led 26 m Decken-/Wandanbau ZB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als universelle Montage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 zentrale Stromversorgung mit LED-Technik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kann sowohl an der Wand als auch an der Decke montiert werden.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Piktogramm dieser Leuchte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llt die vorgeschriebene Leuchtdichte, Kontrast und Gleichm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igkeit nach DIN 4844 und DIN EN 1838 im Netzbetrieb. Die mittlere Leuchtdichte der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n/wei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Piktogrammfl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che muss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500 </w:t>
      </w:r>
      <w:r>
        <w:rPr>
          <w:rFonts w:ascii="Arial" w:hAnsi="Arial"/>
          <w:sz w:val="20"/>
          <w:szCs w:val="20"/>
          <w:rtl w:val="0"/>
          <w:lang w:val="de-DE"/>
        </w:rPr>
        <w:t>cd/qm in heller Umgebung betragen. Die Leuchte ist in heller wie dunkler Umgebung bei Erhaltung der vollen Erkennungsweite uneingeschr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nkt verwendbar.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Leuchtmittel muss LED sein, einen Wirkungsgrad von mindestens 150 lm/W haben und nach 5 Jahren noch mindestens 70 % seines Anfangslichtstromes haben. 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schonenden Betrieb der LED und damit eine extrem lange Leuchtmittel-Lebensdauer.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5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das Leuchtmittel LED und die Leuchtdichte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de-DE"/>
        </w:rPr>
        <w:t>Ein Leuchtdichtemessprotokoll ist auf Wunsch ohne Extrakosten zur Projektdokumentation mitzuliefern.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Decken-/Wandanbaumontage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26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217 x 269 x 41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Zentralbatterie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DC: 175 - 245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>3,9 VA / 2,9 W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 xml:space="preserve">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Stromaufnahme</w:t>
        <w:tab/>
        <w:t>13,2 mA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Batteriebetrieb 220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- 20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+50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700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44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LED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abh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ngig von der Anlagenkapazit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943.00.22612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